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5033645B" w14:textId="4D928701" w:rsidR="00DC2E89" w:rsidRDefault="00DC2E89" w:rsidP="003031DB">
      <w:pPr>
        <w:jc w:val="center"/>
        <w:rPr>
          <w:rFonts w:ascii="Times New Roman" w:hAnsi="Times New Roman"/>
          <w:sz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3031DB">
        <w:rPr>
          <w:rFonts w:ascii="Times New Roman" w:hAnsi="Times New Roman"/>
          <w:b/>
          <w:sz w:val="24"/>
        </w:rPr>
        <w:t xml:space="preserve">Koordynatora </w:t>
      </w:r>
      <w:r w:rsidR="003031DB">
        <w:rPr>
          <w:rFonts w:ascii="Times New Roman" w:hAnsi="Times New Roman"/>
          <w:b/>
          <w:color w:val="000000"/>
          <w:sz w:val="24"/>
        </w:rPr>
        <w:t>w Szpitalnym Oddziale Ratunkowym i w Dziale Ratownictwa Medycznego</w:t>
      </w: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6957AAA4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10:</w:t>
      </w:r>
      <w:r w:rsidR="003031DB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3031DB"/>
    <w:rsid w:val="006F75E0"/>
    <w:rsid w:val="00C51ECB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dcterms:created xsi:type="dcterms:W3CDTF">2025-04-18T11:11:00Z</dcterms:created>
  <dcterms:modified xsi:type="dcterms:W3CDTF">2025-04-18T11:22:00Z</dcterms:modified>
</cp:coreProperties>
</file>